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0B9" w:rsidRDefault="00E56205">
      <w:pPr>
        <w:rPr>
          <w:b/>
          <w:sz w:val="28"/>
          <w:szCs w:val="28"/>
        </w:rPr>
      </w:pPr>
      <w:r w:rsidRPr="00E56205">
        <w:rPr>
          <w:b/>
          <w:sz w:val="28"/>
          <w:szCs w:val="28"/>
        </w:rPr>
        <w:t>Anpassungsmaßnahmen im Falle eines Finanzmittelbedarfs (Einnahmen niedriger als Ausgaben) bzw. eines Finanzmittelüberschusses (Einnahmen höher als Ausgaben)</w:t>
      </w:r>
    </w:p>
    <w:p w:rsidR="00E56205" w:rsidRDefault="00E56205">
      <w:pPr>
        <w:rPr>
          <w:b/>
          <w:sz w:val="28"/>
          <w:szCs w:val="28"/>
        </w:rPr>
      </w:pPr>
    </w:p>
    <w:p w:rsidR="00E56205" w:rsidRPr="00E56205" w:rsidRDefault="00E56205">
      <w:pPr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eastAsia="de-AT"/>
        </w:rPr>
        <w:drawing>
          <wp:inline distT="0" distB="0" distL="0" distR="0">
            <wp:extent cx="7296150" cy="4311650"/>
            <wp:effectExtent l="57150" t="0" r="38100" b="0"/>
            <wp:docPr id="1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E56205" w:rsidRPr="00E56205" w:rsidSect="00F6717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05"/>
    <w:rsid w:val="007B50B9"/>
    <w:rsid w:val="00E56205"/>
    <w:rsid w:val="00EA7DE3"/>
    <w:rsid w:val="00F6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147C"/>
  <w15:chartTrackingRefBased/>
  <w15:docId w15:val="{C13A87E3-60A4-4BEF-84BE-4DE4C643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2AB8A9-E065-40E4-A608-22D6FF1EE436}" type="doc">
      <dgm:prSet loTypeId="urn:microsoft.com/office/officeart/2005/8/layout/default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de-DE"/>
        </a:p>
      </dgm:t>
    </dgm:pt>
    <dgm:pt modelId="{2947AFD6-F3A4-4B0C-AF1C-7E5DE3940FB2}">
      <dgm:prSet phldrT="[Text]"/>
      <dgm:spPr>
        <a:gradFill rotWithShape="0">
          <a:gsLst>
            <a:gs pos="0">
              <a:schemeClr val="accent2">
                <a:lumMod val="75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</a:gradFill>
      </dgm:spPr>
      <dgm:t>
        <a:bodyPr/>
        <a:lstStyle/>
        <a:p>
          <a:r>
            <a:rPr lang="de-DE">
              <a:solidFill>
                <a:srgbClr val="C00000"/>
              </a:solidFill>
            </a:rPr>
            <a:t>Finanzmittelbedarf</a:t>
          </a:r>
        </a:p>
      </dgm:t>
    </dgm:pt>
    <dgm:pt modelId="{8C97076C-1120-4212-867C-910C34B2A462}" type="parTrans" cxnId="{270E1D29-CB17-4C91-9E6D-C4A93136B88E}">
      <dgm:prSet/>
      <dgm:spPr/>
      <dgm:t>
        <a:bodyPr/>
        <a:lstStyle/>
        <a:p>
          <a:endParaRPr lang="de-DE"/>
        </a:p>
      </dgm:t>
    </dgm:pt>
    <dgm:pt modelId="{A6FF1FE6-0DE9-4860-BBF5-A5C9DA578B13}" type="sibTrans" cxnId="{270E1D29-CB17-4C91-9E6D-C4A93136B88E}">
      <dgm:prSet/>
      <dgm:spPr/>
      <dgm:t>
        <a:bodyPr/>
        <a:lstStyle/>
        <a:p>
          <a:endParaRPr lang="de-DE"/>
        </a:p>
      </dgm:t>
    </dgm:pt>
    <dgm:pt modelId="{04F1E980-0BF4-4858-8FEE-3D20AD1432BE}">
      <dgm:prSet phldrT="[Text]"/>
      <dgm:spPr>
        <a:gradFill rotWithShape="0">
          <a:gsLst>
            <a:gs pos="0">
              <a:schemeClr val="accent5">
                <a:hueOff val="-2451115"/>
                <a:satOff val="-3409"/>
                <a:lumOff val="-1307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/>
            </a:gs>
            <a:gs pos="100000">
              <a:schemeClr val="accent5">
                <a:hueOff val="-2451115"/>
                <a:satOff val="-3409"/>
                <a:lumOff val="-1307"/>
                <a:alphaOff val="0"/>
                <a:lumMod val="105000"/>
                <a:satMod val="109000"/>
                <a:tint val="81000"/>
              </a:schemeClr>
            </a:gs>
          </a:gsLst>
        </a:gradFill>
      </dgm:spPr>
      <dgm:t>
        <a:bodyPr/>
        <a:lstStyle/>
        <a:p>
          <a:r>
            <a:rPr lang="de-DE"/>
            <a:t>Finanzmittelüberschuss</a:t>
          </a:r>
        </a:p>
      </dgm:t>
    </dgm:pt>
    <dgm:pt modelId="{1218C72B-3A26-4DDD-8B96-B6AE1D38F816}" type="parTrans" cxnId="{20E7F837-5152-471C-A876-493FAF90E709}">
      <dgm:prSet/>
      <dgm:spPr/>
      <dgm:t>
        <a:bodyPr/>
        <a:lstStyle/>
        <a:p>
          <a:endParaRPr lang="de-DE"/>
        </a:p>
      </dgm:t>
    </dgm:pt>
    <dgm:pt modelId="{D47BC847-8076-474F-8958-C1D24683F173}" type="sibTrans" cxnId="{20E7F837-5152-471C-A876-493FAF90E709}">
      <dgm:prSet/>
      <dgm:spPr/>
      <dgm:t>
        <a:bodyPr/>
        <a:lstStyle/>
        <a:p>
          <a:endParaRPr lang="de-DE"/>
        </a:p>
      </dgm:t>
    </dgm:pt>
    <dgm:pt modelId="{0B1A3E8E-FCE6-4D36-95A1-544E977DAA99}">
      <dgm:prSet phldrT="[Text]" custT="1"/>
      <dgm:spPr>
        <a:gradFill rotWithShape="0">
          <a:gsLst>
            <a:gs pos="0">
              <a:schemeClr val="accent2">
                <a:lumMod val="75000"/>
              </a:schemeClr>
            </a:gs>
            <a:gs pos="50000">
              <a:schemeClr val="accent5">
                <a:hueOff val="-4902230"/>
                <a:satOff val="-6819"/>
                <a:lumOff val="-2615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4902230"/>
                <a:satOff val="-6819"/>
                <a:lumOff val="-2615"/>
                <a:alphaOff val="0"/>
                <a:lumMod val="105000"/>
                <a:satMod val="109000"/>
                <a:tint val="81000"/>
              </a:schemeClr>
            </a:gs>
          </a:gsLst>
        </a:gradFill>
      </dgm:spPr>
      <dgm:t>
        <a:bodyPr/>
        <a:lstStyle/>
        <a:p>
          <a:pPr algn="ctr"/>
          <a:endParaRPr lang="de-DE" sz="1200"/>
        </a:p>
        <a:p>
          <a:pPr algn="ctr"/>
          <a:endParaRPr lang="de-DE" sz="1200"/>
        </a:p>
        <a:p>
          <a:pPr algn="l"/>
          <a:r>
            <a:rPr lang="de-DE" sz="1200"/>
            <a:t>&gt; </a:t>
          </a:r>
          <a:r>
            <a:rPr lang="de-DE" sz="1200">
              <a:solidFill>
                <a:srgbClr val="C00000"/>
              </a:solidFill>
            </a:rPr>
            <a:t>weniger ausgeben</a:t>
          </a:r>
        </a:p>
        <a:p>
          <a:pPr algn="l"/>
          <a:r>
            <a:rPr lang="de-DE" sz="1200">
              <a:solidFill>
                <a:srgbClr val="C00000"/>
              </a:solidFill>
            </a:rPr>
            <a:t>&gt; Mehr einnehmen</a:t>
          </a:r>
        </a:p>
        <a:p>
          <a:pPr algn="l"/>
          <a:r>
            <a:rPr lang="de-DE" sz="1200">
              <a:solidFill>
                <a:srgbClr val="C00000"/>
              </a:solidFill>
            </a:rPr>
            <a:t>&gt; Vermögen veräußern</a:t>
          </a:r>
        </a:p>
        <a:p>
          <a:pPr algn="l"/>
          <a:r>
            <a:rPr lang="de-DE" sz="1200">
              <a:solidFill>
                <a:srgbClr val="C00000"/>
              </a:solidFill>
            </a:rPr>
            <a:t>&gt; Kredit aufnehmen</a:t>
          </a:r>
        </a:p>
        <a:p>
          <a:pPr algn="l"/>
          <a:r>
            <a:rPr lang="de-DE" sz="1200">
              <a:solidFill>
                <a:srgbClr val="C00000"/>
              </a:solidFill>
            </a:rPr>
            <a:t>&gt; Privates Geld des Unternehmers verwenden (=Privateinlage)</a:t>
          </a:r>
        </a:p>
        <a:p>
          <a:pPr algn="l"/>
          <a:r>
            <a:rPr lang="de-DE" sz="1200">
              <a:solidFill>
                <a:srgbClr val="C00000"/>
              </a:solidFill>
            </a:rPr>
            <a:t>&gt; Sparguthaben auflösen</a:t>
          </a:r>
        </a:p>
        <a:p>
          <a:pPr algn="ctr"/>
          <a:endParaRPr lang="de-DE" sz="2000"/>
        </a:p>
      </dgm:t>
    </dgm:pt>
    <dgm:pt modelId="{49AB81F5-6042-4C6E-9DEC-C782C8C1AA0C}" type="parTrans" cxnId="{C5014685-1D8F-4954-85CE-F8E8C9B02C1B}">
      <dgm:prSet/>
      <dgm:spPr/>
      <dgm:t>
        <a:bodyPr/>
        <a:lstStyle/>
        <a:p>
          <a:endParaRPr lang="de-DE"/>
        </a:p>
      </dgm:t>
    </dgm:pt>
    <dgm:pt modelId="{F85F7AFF-0A77-48D4-AA8C-2EE4C0B682E4}" type="sibTrans" cxnId="{C5014685-1D8F-4954-85CE-F8E8C9B02C1B}">
      <dgm:prSet/>
      <dgm:spPr/>
      <dgm:t>
        <a:bodyPr/>
        <a:lstStyle/>
        <a:p>
          <a:endParaRPr lang="de-DE"/>
        </a:p>
      </dgm:t>
    </dgm:pt>
    <dgm:pt modelId="{E6983473-EB70-43FE-BB0C-BF7D1739464B}">
      <dgm:prSet phldrT="[Text]" custT="1"/>
      <dgm:spPr>
        <a:gradFill rotWithShape="0">
          <a:gsLst>
            <a:gs pos="0">
              <a:schemeClr val="accent1">
                <a:lumMod val="60000"/>
                <a:lumOff val="40000"/>
              </a:schemeClr>
            </a:gs>
            <a:gs pos="0">
              <a:schemeClr val="accent6"/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9000"/>
                <a:tint val="81000"/>
              </a:schemeClr>
            </a:gs>
          </a:gsLst>
        </a:gradFill>
      </dgm:spPr>
      <dgm:t>
        <a:bodyPr/>
        <a:lstStyle/>
        <a:p>
          <a:pPr algn="l"/>
          <a:r>
            <a:rPr lang="de-DE" sz="1200"/>
            <a:t>&gt; Geld in die nächste Periode mitnehmen (Übertrag)</a:t>
          </a:r>
        </a:p>
        <a:p>
          <a:pPr algn="l"/>
          <a:r>
            <a:rPr lang="de-DE" sz="1200"/>
            <a:t>&gt; Geld auf Sparbuch legen</a:t>
          </a:r>
        </a:p>
        <a:p>
          <a:pPr algn="l"/>
          <a:r>
            <a:rPr lang="de-DE" sz="1200"/>
            <a:t>&gt; Vermögen erwerben (z.B. Wohnung,Auto, Gold, Schmuck)</a:t>
          </a:r>
        </a:p>
        <a:p>
          <a:pPr algn="l"/>
          <a:r>
            <a:rPr lang="de-DE" sz="1200"/>
            <a:t>&gt; Kredit zurückzahlen</a:t>
          </a:r>
        </a:p>
        <a:p>
          <a:pPr algn="l"/>
          <a:r>
            <a:rPr lang="de-DE" sz="1200"/>
            <a:t>&gt; Geld für den privaten Bedarf des Unternehmers verwenden</a:t>
          </a:r>
        </a:p>
      </dgm:t>
    </dgm:pt>
    <dgm:pt modelId="{F163DADD-7000-4723-BB99-5C5371FB7424}" type="parTrans" cxnId="{CD9A6DB9-42D8-451D-AF01-54EDDCC5F250}">
      <dgm:prSet/>
      <dgm:spPr/>
      <dgm:t>
        <a:bodyPr/>
        <a:lstStyle/>
        <a:p>
          <a:endParaRPr lang="de-DE"/>
        </a:p>
      </dgm:t>
    </dgm:pt>
    <dgm:pt modelId="{7B9D05F9-9D3B-463B-A4AD-DCF3348275B6}" type="sibTrans" cxnId="{CD9A6DB9-42D8-451D-AF01-54EDDCC5F250}">
      <dgm:prSet/>
      <dgm:spPr/>
      <dgm:t>
        <a:bodyPr/>
        <a:lstStyle/>
        <a:p>
          <a:endParaRPr lang="de-DE"/>
        </a:p>
      </dgm:t>
    </dgm:pt>
    <dgm:pt modelId="{5AF6E4CE-3E8C-40BD-9A2F-FFE5CB1A74FB}" type="pres">
      <dgm:prSet presAssocID="{392AB8A9-E065-40E4-A608-22D6FF1EE436}" presName="diagram" presStyleCnt="0">
        <dgm:presLayoutVars>
          <dgm:dir/>
          <dgm:resizeHandles val="exact"/>
        </dgm:presLayoutVars>
      </dgm:prSet>
      <dgm:spPr/>
    </dgm:pt>
    <dgm:pt modelId="{69FF7988-8303-4ADB-AF3A-C6D8FBADEC9E}" type="pres">
      <dgm:prSet presAssocID="{2947AFD6-F3A4-4B0C-AF1C-7E5DE3940FB2}" presName="node" presStyleLbl="node1" presStyleIdx="0" presStyleCnt="4" custScaleY="46950" custLinFactNeighborX="-26" custLinFactNeighborY="405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807BCDA4-8572-4A1F-AB14-D1665D2B401D}" type="pres">
      <dgm:prSet presAssocID="{A6FF1FE6-0DE9-4860-BBF5-A5C9DA578B13}" presName="sibTrans" presStyleCnt="0"/>
      <dgm:spPr/>
    </dgm:pt>
    <dgm:pt modelId="{2F84CD83-83BB-464D-B525-F65DE72257F5}" type="pres">
      <dgm:prSet presAssocID="{04F1E980-0BF4-4858-8FEE-3D20AD1432BE}" presName="node" presStyleLbl="node1" presStyleIdx="1" presStyleCnt="4" custScaleY="42585">
        <dgm:presLayoutVars>
          <dgm:bulletEnabled val="1"/>
        </dgm:presLayoutVars>
      </dgm:prSet>
      <dgm:spPr/>
    </dgm:pt>
    <dgm:pt modelId="{F2A7713B-8072-4AA9-9AEF-9CBBD70D2E83}" type="pres">
      <dgm:prSet presAssocID="{D47BC847-8076-474F-8958-C1D24683F173}" presName="sibTrans" presStyleCnt="0"/>
      <dgm:spPr/>
    </dgm:pt>
    <dgm:pt modelId="{018EAD0D-F7A2-495D-ACBB-E98811260BDC}" type="pres">
      <dgm:prSet presAssocID="{0B1A3E8E-FCE6-4D36-95A1-544E977DAA99}" presName="node" presStyleLbl="node1" presStyleIdx="2" presStyleCnt="4" custScaleY="94516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251D2BFD-FBF9-41B7-A640-1A04903FD776}" type="pres">
      <dgm:prSet presAssocID="{F85F7AFF-0A77-48D4-AA8C-2EE4C0B682E4}" presName="sibTrans" presStyleCnt="0"/>
      <dgm:spPr/>
    </dgm:pt>
    <dgm:pt modelId="{8FC83E00-CBC3-4C11-9429-2839F0223A09}" type="pres">
      <dgm:prSet presAssocID="{E6983473-EB70-43FE-BB0C-BF7D1739464B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</dgm:ptLst>
  <dgm:cxnLst>
    <dgm:cxn modelId="{DF4C8C36-E871-41BF-8C32-E67A6564B76D}" type="presOf" srcId="{04F1E980-0BF4-4858-8FEE-3D20AD1432BE}" destId="{2F84CD83-83BB-464D-B525-F65DE72257F5}" srcOrd="0" destOrd="0" presId="urn:microsoft.com/office/officeart/2005/8/layout/default"/>
    <dgm:cxn modelId="{5B03638D-40C2-4A39-9504-757CEDE1D542}" type="presOf" srcId="{392AB8A9-E065-40E4-A608-22D6FF1EE436}" destId="{5AF6E4CE-3E8C-40BD-9A2F-FFE5CB1A74FB}" srcOrd="0" destOrd="0" presId="urn:microsoft.com/office/officeart/2005/8/layout/default"/>
    <dgm:cxn modelId="{C5014685-1D8F-4954-85CE-F8E8C9B02C1B}" srcId="{392AB8A9-E065-40E4-A608-22D6FF1EE436}" destId="{0B1A3E8E-FCE6-4D36-95A1-544E977DAA99}" srcOrd="2" destOrd="0" parTransId="{49AB81F5-6042-4C6E-9DEC-C782C8C1AA0C}" sibTransId="{F85F7AFF-0A77-48D4-AA8C-2EE4C0B682E4}"/>
    <dgm:cxn modelId="{20E7F837-5152-471C-A876-493FAF90E709}" srcId="{392AB8A9-E065-40E4-A608-22D6FF1EE436}" destId="{04F1E980-0BF4-4858-8FEE-3D20AD1432BE}" srcOrd="1" destOrd="0" parTransId="{1218C72B-3A26-4DDD-8B96-B6AE1D38F816}" sibTransId="{D47BC847-8076-474F-8958-C1D24683F173}"/>
    <dgm:cxn modelId="{270E1D29-CB17-4C91-9E6D-C4A93136B88E}" srcId="{392AB8A9-E065-40E4-A608-22D6FF1EE436}" destId="{2947AFD6-F3A4-4B0C-AF1C-7E5DE3940FB2}" srcOrd="0" destOrd="0" parTransId="{8C97076C-1120-4212-867C-910C34B2A462}" sibTransId="{A6FF1FE6-0DE9-4860-BBF5-A5C9DA578B13}"/>
    <dgm:cxn modelId="{768355A8-65DE-4E1D-B9E3-28A826A2C09A}" type="presOf" srcId="{0B1A3E8E-FCE6-4D36-95A1-544E977DAA99}" destId="{018EAD0D-F7A2-495D-ACBB-E98811260BDC}" srcOrd="0" destOrd="0" presId="urn:microsoft.com/office/officeart/2005/8/layout/default"/>
    <dgm:cxn modelId="{CD9A6DB9-42D8-451D-AF01-54EDDCC5F250}" srcId="{392AB8A9-E065-40E4-A608-22D6FF1EE436}" destId="{E6983473-EB70-43FE-BB0C-BF7D1739464B}" srcOrd="3" destOrd="0" parTransId="{F163DADD-7000-4723-BB99-5C5371FB7424}" sibTransId="{7B9D05F9-9D3B-463B-A4AD-DCF3348275B6}"/>
    <dgm:cxn modelId="{23FA1018-3A41-4390-B47A-8F9F465DEA9F}" type="presOf" srcId="{E6983473-EB70-43FE-BB0C-BF7D1739464B}" destId="{8FC83E00-CBC3-4C11-9429-2839F0223A09}" srcOrd="0" destOrd="0" presId="urn:microsoft.com/office/officeart/2005/8/layout/default"/>
    <dgm:cxn modelId="{A475181E-85FD-4741-A64A-F402D8FCF182}" type="presOf" srcId="{2947AFD6-F3A4-4B0C-AF1C-7E5DE3940FB2}" destId="{69FF7988-8303-4ADB-AF3A-C6D8FBADEC9E}" srcOrd="0" destOrd="0" presId="urn:microsoft.com/office/officeart/2005/8/layout/default"/>
    <dgm:cxn modelId="{88032DB7-351A-415A-8027-087B8973E16B}" type="presParOf" srcId="{5AF6E4CE-3E8C-40BD-9A2F-FFE5CB1A74FB}" destId="{69FF7988-8303-4ADB-AF3A-C6D8FBADEC9E}" srcOrd="0" destOrd="0" presId="urn:microsoft.com/office/officeart/2005/8/layout/default"/>
    <dgm:cxn modelId="{A1B30321-9DF3-4E18-B122-AD314774685A}" type="presParOf" srcId="{5AF6E4CE-3E8C-40BD-9A2F-FFE5CB1A74FB}" destId="{807BCDA4-8572-4A1F-AB14-D1665D2B401D}" srcOrd="1" destOrd="0" presId="urn:microsoft.com/office/officeart/2005/8/layout/default"/>
    <dgm:cxn modelId="{BFE5C86F-C7F6-463F-B117-E7262243C7F1}" type="presParOf" srcId="{5AF6E4CE-3E8C-40BD-9A2F-FFE5CB1A74FB}" destId="{2F84CD83-83BB-464D-B525-F65DE72257F5}" srcOrd="2" destOrd="0" presId="urn:microsoft.com/office/officeart/2005/8/layout/default"/>
    <dgm:cxn modelId="{5B60D36E-1D6E-429C-B9B7-9700D690ED3A}" type="presParOf" srcId="{5AF6E4CE-3E8C-40BD-9A2F-FFE5CB1A74FB}" destId="{F2A7713B-8072-4AA9-9AEF-9CBBD70D2E83}" srcOrd="3" destOrd="0" presId="urn:microsoft.com/office/officeart/2005/8/layout/default"/>
    <dgm:cxn modelId="{59AAE238-F7B4-488C-B24E-BC07F890624B}" type="presParOf" srcId="{5AF6E4CE-3E8C-40BD-9A2F-FFE5CB1A74FB}" destId="{018EAD0D-F7A2-495D-ACBB-E98811260BDC}" srcOrd="4" destOrd="0" presId="urn:microsoft.com/office/officeart/2005/8/layout/default"/>
    <dgm:cxn modelId="{1BE0199C-CDFC-4881-BB32-DFED969E79C4}" type="presParOf" srcId="{5AF6E4CE-3E8C-40BD-9A2F-FFE5CB1A74FB}" destId="{251D2BFD-FBF9-41B7-A640-1A04903FD776}" srcOrd="5" destOrd="0" presId="urn:microsoft.com/office/officeart/2005/8/layout/default"/>
    <dgm:cxn modelId="{81D229D1-E03F-4EB5-AC40-0ADA7C250C84}" type="presParOf" srcId="{5AF6E4CE-3E8C-40BD-9A2F-FFE5CB1A74FB}" destId="{8FC83E00-CBC3-4C11-9429-2839F0223A09}" srcOrd="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FF7988-8303-4ADB-AF3A-C6D8FBADEC9E}">
      <dsp:nvSpPr>
        <dsp:cNvPr id="0" name=""/>
        <dsp:cNvSpPr/>
      </dsp:nvSpPr>
      <dsp:spPr>
        <a:xfrm>
          <a:off x="0" y="459293"/>
          <a:ext cx="3473508" cy="978487"/>
        </a:xfrm>
        <a:prstGeom prst="rect">
          <a:avLst/>
        </a:prstGeom>
        <a:gradFill rotWithShape="0">
          <a:gsLst>
            <a:gs pos="0">
              <a:schemeClr val="accent2">
                <a:lumMod val="75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2600" kern="1200">
              <a:solidFill>
                <a:srgbClr val="C00000"/>
              </a:solidFill>
            </a:rPr>
            <a:t>Finanzmittelbedarf</a:t>
          </a:r>
        </a:p>
      </dsp:txBody>
      <dsp:txXfrm>
        <a:off x="0" y="459293"/>
        <a:ext cx="3473508" cy="978487"/>
      </dsp:txXfrm>
    </dsp:sp>
    <dsp:sp modelId="{2F84CD83-83BB-464D-B525-F65DE72257F5}">
      <dsp:nvSpPr>
        <dsp:cNvPr id="0" name=""/>
        <dsp:cNvSpPr/>
      </dsp:nvSpPr>
      <dsp:spPr>
        <a:xfrm>
          <a:off x="3821750" y="496338"/>
          <a:ext cx="3473508" cy="887516"/>
        </a:xfrm>
        <a:prstGeom prst="rect">
          <a:avLst/>
        </a:prstGeom>
        <a:gradFill rotWithShape="0">
          <a:gsLst>
            <a:gs pos="0">
              <a:schemeClr val="accent5">
                <a:hueOff val="-2451115"/>
                <a:satOff val="-3409"/>
                <a:lumOff val="-1307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/>
            </a:gs>
            <a:gs pos="100000">
              <a:schemeClr val="accent5">
                <a:hueOff val="-2451115"/>
                <a:satOff val="-3409"/>
                <a:lumOff val="-1307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2600" kern="1200"/>
            <a:t>Finanzmittelüberschuss</a:t>
          </a:r>
        </a:p>
      </dsp:txBody>
      <dsp:txXfrm>
        <a:off x="3821750" y="496338"/>
        <a:ext cx="3473508" cy="887516"/>
      </dsp:txXfrm>
    </dsp:sp>
    <dsp:sp modelId="{018EAD0D-F7A2-495D-ACBB-E98811260BDC}">
      <dsp:nvSpPr>
        <dsp:cNvPr id="0" name=""/>
        <dsp:cNvSpPr/>
      </dsp:nvSpPr>
      <dsp:spPr>
        <a:xfrm>
          <a:off x="890" y="1833837"/>
          <a:ext cx="3473508" cy="1969813"/>
        </a:xfrm>
        <a:prstGeom prst="rect">
          <a:avLst/>
        </a:prstGeom>
        <a:gradFill rotWithShape="0">
          <a:gsLst>
            <a:gs pos="0">
              <a:schemeClr val="accent2">
                <a:lumMod val="75000"/>
              </a:schemeClr>
            </a:gs>
            <a:gs pos="50000">
              <a:schemeClr val="accent5">
                <a:hueOff val="-4902230"/>
                <a:satOff val="-6819"/>
                <a:lumOff val="-2615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4902230"/>
                <a:satOff val="-6819"/>
                <a:lumOff val="-2615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1200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kern="1200"/>
            <a:t>&gt; </a:t>
          </a:r>
          <a:r>
            <a:rPr lang="de-DE" sz="1200" kern="1200">
              <a:solidFill>
                <a:srgbClr val="C00000"/>
              </a:solidFill>
            </a:rPr>
            <a:t>weniger ausgeben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kern="1200">
              <a:solidFill>
                <a:srgbClr val="C00000"/>
              </a:solidFill>
            </a:rPr>
            <a:t>&gt; Mehr einnehmen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kern="1200">
              <a:solidFill>
                <a:srgbClr val="C00000"/>
              </a:solidFill>
            </a:rPr>
            <a:t>&gt; Vermögen veräußern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kern="1200">
              <a:solidFill>
                <a:srgbClr val="C00000"/>
              </a:solidFill>
            </a:rPr>
            <a:t>&gt; Kredit aufnehmen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kern="1200">
              <a:solidFill>
                <a:srgbClr val="C00000"/>
              </a:solidFill>
            </a:rPr>
            <a:t>&gt; Privates Geld des Unternehmers verwenden (=Privateinlage)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kern="1200">
              <a:solidFill>
                <a:srgbClr val="C00000"/>
              </a:solidFill>
            </a:rPr>
            <a:t>&gt; Sparguthaben auflösen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2000" kern="1200"/>
        </a:p>
      </dsp:txBody>
      <dsp:txXfrm>
        <a:off x="890" y="1833837"/>
        <a:ext cx="3473508" cy="1969813"/>
      </dsp:txXfrm>
    </dsp:sp>
    <dsp:sp modelId="{8FC83E00-CBC3-4C11-9429-2839F0223A09}">
      <dsp:nvSpPr>
        <dsp:cNvPr id="0" name=""/>
        <dsp:cNvSpPr/>
      </dsp:nvSpPr>
      <dsp:spPr>
        <a:xfrm>
          <a:off x="3821750" y="1776691"/>
          <a:ext cx="3473508" cy="2084105"/>
        </a:xfrm>
        <a:prstGeom prst="rect">
          <a:avLst/>
        </a:prstGeom>
        <a:gradFill rotWithShape="0">
          <a:gsLst>
            <a:gs pos="0">
              <a:schemeClr val="accent1">
                <a:lumMod val="60000"/>
                <a:lumOff val="40000"/>
              </a:schemeClr>
            </a:gs>
            <a:gs pos="0">
              <a:schemeClr val="accent6"/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kern="1200"/>
            <a:t>&gt; Geld in die nächste Periode mitnehmen (Übertrag)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kern="1200"/>
            <a:t>&gt; Geld auf Sparbuch legen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kern="1200"/>
            <a:t>&gt; Vermögen erwerben (z.B. Wohnung,Auto, Gold, Schmuck)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kern="1200"/>
            <a:t>&gt; Kredit zurückzahlen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kern="1200"/>
            <a:t>&gt; Geld für den privaten Bedarf des Unternehmers verwenden</a:t>
          </a:r>
        </a:p>
      </dsp:txBody>
      <dsp:txXfrm>
        <a:off x="3821750" y="1776691"/>
        <a:ext cx="3473508" cy="20841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Hayriye Eroglu-Schmid</dc:creator>
  <cp:keywords/>
  <dc:description/>
  <cp:lastModifiedBy>Hayriye Eroglu-Schmid</cp:lastModifiedBy>
  <cp:revision>1</cp:revision>
  <dcterms:created xsi:type="dcterms:W3CDTF">2021-08-03T15:29:00Z</dcterms:created>
  <dcterms:modified xsi:type="dcterms:W3CDTF">2021-08-03T15:49:00Z</dcterms:modified>
</cp:coreProperties>
</file>